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page" w:horzAnchor="margin" w:tblpXSpec="center" w:tblpY="541"/>
        <w:tblW w:w="10967" w:type="dxa"/>
        <w:tblLayout w:type="fixed"/>
        <w:tblLook w:val="04A0" w:firstRow="1" w:lastRow="0" w:firstColumn="1" w:lastColumn="0" w:noHBand="0" w:noVBand="1"/>
      </w:tblPr>
      <w:tblGrid>
        <w:gridCol w:w="4361"/>
        <w:gridCol w:w="1793"/>
        <w:gridCol w:w="4813"/>
      </w:tblGrid>
      <w:tr w:rsidR="00673B81" w:rsidRPr="00465272" w14:paraId="4A696481" w14:textId="77777777" w:rsidTr="00953BF6">
        <w:trPr>
          <w:trHeight w:val="217"/>
        </w:trPr>
        <w:tc>
          <w:tcPr>
            <w:tcW w:w="4361" w:type="dxa"/>
            <w:hideMark/>
          </w:tcPr>
          <w:p w14:paraId="32DDB818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ҚАРАҒАНДЫ ОБЛЫСЫ БІЛІМ</w:t>
            </w:r>
          </w:p>
          <w:p w14:paraId="7EEC37D2" w14:textId="77777777" w:rsidR="00673B81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БАСҚАРМАСЫНЫҢ</w:t>
            </w:r>
          </w:p>
          <w:p w14:paraId="472681F4" w14:textId="77777777" w:rsidR="00673B81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ОСАКАРОВ АУДАНЫ БІЛІМ</w:t>
            </w:r>
          </w:p>
          <w:p w14:paraId="2B54417D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БӨЛІМІНІҢ</w:t>
            </w:r>
          </w:p>
          <w:p w14:paraId="5A6115B3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«№5 ЖАЛПЫ БІЛІМ</w:t>
            </w:r>
          </w:p>
          <w:p w14:paraId="598A6432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БЕРЕТІН МЕКТЕБІ»</w:t>
            </w:r>
          </w:p>
          <w:p w14:paraId="2D32A8C8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КОММУНАЛДЫҚ</w:t>
            </w:r>
          </w:p>
          <w:p w14:paraId="0B81D99A" w14:textId="77777777" w:rsidR="00673B81" w:rsidRPr="002C2A58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МЕКЕМЕСІ</w:t>
            </w:r>
          </w:p>
        </w:tc>
        <w:tc>
          <w:tcPr>
            <w:tcW w:w="17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58D5D" w14:textId="77777777" w:rsidR="00673B81" w:rsidRPr="00465272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272">
              <w:rPr>
                <w:rFonts w:ascii="Times New Roman" w:hAnsi="Times New Roman"/>
                <w:sz w:val="20"/>
                <w:szCs w:val="20"/>
              </w:rPr>
              <w:object w:dxaOrig="1455" w:dyaOrig="1440" w14:anchorId="26CA1D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9.25pt" o:ole="" fillcolor="window">
                  <v:imagedata r:id="rId4" o:title=""/>
                </v:shape>
                <o:OLEObject Type="Embed" ProgID="MSDraw" ShapeID="_x0000_i1025" DrawAspect="Content" ObjectID="_1703402584" r:id="rId5">
                  <o:FieldCodes>\* MERGEFORMAT</o:FieldCodes>
                </o:OLEObject>
              </w:object>
            </w:r>
          </w:p>
        </w:tc>
        <w:tc>
          <w:tcPr>
            <w:tcW w:w="4813" w:type="dxa"/>
            <w:hideMark/>
          </w:tcPr>
          <w:p w14:paraId="118CE6E7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КОММУНАЛЬНОЕ</w:t>
            </w:r>
          </w:p>
          <w:p w14:paraId="6582F5A5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</w:t>
            </w:r>
          </w:p>
          <w:p w14:paraId="6C16B0F3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>«ОБЩЕОБРАЗОВАТЕЛЬНАЯ</w:t>
            </w:r>
          </w:p>
          <w:p w14:paraId="3D8F5DB4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 xml:space="preserve">ШКОЛА № </w:t>
            </w:r>
            <w:r w:rsidRPr="00D50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00A8CF2" w14:textId="77777777" w:rsidR="00673B81" w:rsidRPr="00D50C46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>ОТДЕЛА ОБРАЗОВАНИЯ ОСАКАРОВСКОГО</w:t>
            </w:r>
          </w:p>
          <w:p w14:paraId="6FCDEF7C" w14:textId="77777777" w:rsidR="00673B81" w:rsidRPr="00465272" w:rsidRDefault="00673B81" w:rsidP="00953B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C46">
              <w:rPr>
                <w:rFonts w:ascii="Times New Roman" w:hAnsi="Times New Roman"/>
                <w:b/>
                <w:sz w:val="24"/>
                <w:szCs w:val="24"/>
              </w:rPr>
              <w:t>РАЙОНА УПРАВЛЕНИЯ ОБРАЗОВАНИЯ</w:t>
            </w:r>
            <w:r w:rsidRPr="00D50C46">
              <w:rPr>
                <w:rFonts w:ascii="Times New Roman" w:hAnsi="Times New Roman"/>
                <w:b/>
                <w:sz w:val="24"/>
                <w:szCs w:val="24"/>
              </w:rPr>
              <w:br/>
              <w:t>КАРАГАНДИНСКОЙ ОБЛАСТИ</w:t>
            </w:r>
          </w:p>
        </w:tc>
      </w:tr>
      <w:tr w:rsidR="00673B81" w:rsidRPr="00465272" w14:paraId="29366AB4" w14:textId="77777777" w:rsidTr="00953BF6">
        <w:trPr>
          <w:trHeight w:val="181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7776" w14:textId="77777777" w:rsidR="00673B81" w:rsidRPr="00465272" w:rsidRDefault="00673B81" w:rsidP="00953B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0D877" w14:textId="77777777" w:rsidR="00673B81" w:rsidRPr="00465272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049A" w14:textId="77777777" w:rsidR="00673B81" w:rsidRPr="00465272" w:rsidRDefault="00673B81" w:rsidP="00953BF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73B81" w:rsidRPr="00D50C46" w14:paraId="1BAE11D4" w14:textId="77777777" w:rsidTr="00953BF6">
        <w:trPr>
          <w:trHeight w:val="116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A83E4E" w14:textId="77777777" w:rsidR="00673B81" w:rsidRPr="00D50C46" w:rsidRDefault="00673B81" w:rsidP="00953BF6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015 Қарағанды облысы,Осакаров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уданы,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Қарағайлы ауылы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AF1AD" w14:textId="77777777" w:rsidR="00673B81" w:rsidRPr="00D50C46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674A8" w14:textId="77777777" w:rsidR="00673B81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101015 Карагандинская область, Осакаровский </w:t>
            </w:r>
          </w:p>
          <w:p w14:paraId="31761FC8" w14:textId="77777777" w:rsidR="00673B81" w:rsidRPr="00D50C46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район с.Карагайлы                     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673B81" w:rsidRPr="00CB5AFA" w14:paraId="5A4532F2" w14:textId="77777777" w:rsidTr="00953BF6">
        <w:trPr>
          <w:trHeight w:val="84"/>
        </w:trPr>
        <w:tc>
          <w:tcPr>
            <w:tcW w:w="4361" w:type="dxa"/>
            <w:hideMark/>
          </w:tcPr>
          <w:p w14:paraId="7FEEA124" w14:textId="77777777" w:rsidR="00673B81" w:rsidRPr="00D50C46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Школьная көшесі т</w:t>
            </w:r>
            <w:r w:rsidRPr="00D50C46">
              <w:rPr>
                <w:rFonts w:ascii="Times New Roman" w:hAnsi="Times New Roman"/>
                <w:b/>
                <w:sz w:val="20"/>
                <w:szCs w:val="20"/>
              </w:rPr>
              <w:t>ел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 36297</w:t>
            </w:r>
            <w:r w:rsidRPr="00D50C4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14:paraId="00A8EBF3" w14:textId="77777777" w:rsidR="00673B81" w:rsidRPr="00AD7BF0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               </w:t>
            </w:r>
          </w:p>
          <w:p w14:paraId="6B708525" w14:textId="77777777" w:rsidR="00673B81" w:rsidRPr="00217121" w:rsidRDefault="00673B81" w:rsidP="00953B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              </w:t>
            </w:r>
            <w:r w:rsidRPr="0021712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БҰЙРЫҚ</w:t>
            </w:r>
          </w:p>
        </w:tc>
        <w:tc>
          <w:tcPr>
            <w:tcW w:w="1793" w:type="dxa"/>
          </w:tcPr>
          <w:p w14:paraId="56B0BB4D" w14:textId="77777777" w:rsidR="00673B81" w:rsidRPr="00D50C46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0E5CB4" w14:textId="77777777" w:rsidR="00673B81" w:rsidRPr="00D50C46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07362A" w14:textId="77777777" w:rsidR="00673B81" w:rsidRPr="00D50C46" w:rsidRDefault="00673B81" w:rsidP="00953BF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0C46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14:paraId="66B5BBC0" w14:textId="77777777" w:rsidR="00673B81" w:rsidRPr="00D50C46" w:rsidRDefault="00673B81" w:rsidP="00953BF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3" w:type="dxa"/>
          </w:tcPr>
          <w:p w14:paraId="64F0B46D" w14:textId="77777777" w:rsidR="00673B81" w:rsidRPr="00D50C46" w:rsidRDefault="00673B81" w:rsidP="00953BF6">
            <w:pPr>
              <w:tabs>
                <w:tab w:val="left" w:pos="434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Pr="00D50C4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улица Школьная тел: 36297 </w:t>
            </w:r>
          </w:p>
          <w:p w14:paraId="0146A739" w14:textId="77777777" w:rsidR="00673B81" w:rsidRPr="00AD7BF0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</w:p>
          <w:p w14:paraId="0E89DF38" w14:textId="77777777" w:rsidR="00673B81" w:rsidRPr="00217121" w:rsidRDefault="00673B81" w:rsidP="00953B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</w:t>
            </w:r>
            <w:r w:rsidRPr="00217121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ПРИКАЗ</w:t>
            </w:r>
          </w:p>
        </w:tc>
      </w:tr>
    </w:tbl>
    <w:p w14:paraId="2BC05DD2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DC12AA" w14:textId="77777777" w:rsidR="00673B81" w:rsidRPr="009433AF" w:rsidRDefault="00673B81" w:rsidP="00673B81">
      <w:pPr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9433AF">
        <w:rPr>
          <w:rFonts w:ascii="Times New Roman" w:hAnsi="Times New Roman" w:cs="Times New Roman"/>
          <w:b/>
          <w:sz w:val="24"/>
          <w:szCs w:val="24"/>
          <w:lang w:val="kk-KZ" w:eastAsia="ko-KR"/>
        </w:rPr>
        <w:t>____________________№________</w:t>
      </w:r>
    </w:p>
    <w:p w14:paraId="4EC4C146" w14:textId="77777777" w:rsidR="00673B81" w:rsidRDefault="00673B81" w:rsidP="00673B81">
      <w:pPr>
        <w:rPr>
          <w:b/>
          <w:sz w:val="20"/>
          <w:szCs w:val="20"/>
          <w:lang w:val="kk-KZ" w:eastAsia="ko-KR"/>
        </w:rPr>
      </w:pPr>
    </w:p>
    <w:p w14:paraId="6D377923" w14:textId="77777777" w:rsidR="00673B81" w:rsidRPr="0060439E" w:rsidRDefault="00673B81" w:rsidP="00673B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Мониторинг </w:t>
      </w:r>
      <w:proofErr w:type="spellStart"/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>жөніндегі</w:t>
      </w:r>
      <w:proofErr w:type="spellEnd"/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комиссия туралы</w:t>
      </w:r>
    </w:p>
    <w:p w14:paraId="042F2456" w14:textId="77777777" w:rsidR="00673B81" w:rsidRPr="0060439E" w:rsidRDefault="00673B81" w:rsidP="00673B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ҚМУ-да тамақтану </w:t>
      </w:r>
      <w:proofErr w:type="spellStart"/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сапасына</w:t>
      </w:r>
      <w:proofErr w:type="spellEnd"/>
    </w:p>
    <w:p w14:paraId="1F91AB05" w14:textId="77777777" w:rsidR="00673B81" w:rsidRDefault="00673B81" w:rsidP="00673B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439E">
        <w:rPr>
          <w:rFonts w:ascii="Times New Roman" w:hAnsi="Times New Roman" w:cs="Times New Roman"/>
          <w:b/>
          <w:bCs/>
          <w:sz w:val="28"/>
          <w:szCs w:val="28"/>
          <w:lang w:val="ru-KZ"/>
        </w:rPr>
        <w:t>№5 ЖББМ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5AA600" w14:textId="77777777" w:rsidR="00673B81" w:rsidRDefault="00673B81" w:rsidP="00673B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F16E7" w14:textId="77777777" w:rsidR="00673B81" w:rsidRPr="009433AF" w:rsidRDefault="00673B81" w:rsidP="00673B8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№598 "орта білім беру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білім алушыларды тамақтандыруды ұйымдастыру,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жетім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қамқорлығынсыз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тәрбиеленетін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тамақтандыруды қамтамасыз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етумен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бұйрығын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білім алушыларды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тамақтандыруды қамтамасыз ету мақсатында, білім алушылардың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жүргізуді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r w:rsidRPr="009433AF">
        <w:rPr>
          <w:rFonts w:ascii="Times New Roman" w:hAnsi="Times New Roman" w:cs="Times New Roman"/>
          <w:b/>
          <w:bCs/>
          <w:sz w:val="28"/>
          <w:szCs w:val="28"/>
        </w:rPr>
        <w:t>БҰЙЫРАМЫН:</w:t>
      </w:r>
    </w:p>
    <w:p w14:paraId="243E9202" w14:textId="77777777" w:rsidR="00673B81" w:rsidRPr="009433AF" w:rsidRDefault="00673B81" w:rsidP="00673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1. Тамақтану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сапасына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).</w:t>
      </w:r>
    </w:p>
    <w:p w14:paraId="0F741465" w14:textId="77777777" w:rsidR="00673B81" w:rsidRPr="009433AF" w:rsidRDefault="00673B81" w:rsidP="00673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мониторингті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.:</w:t>
      </w:r>
    </w:p>
    <w:p w14:paraId="733F2CF9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түсетін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тамақ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сапасымен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,</w:t>
      </w:r>
    </w:p>
    <w:p w14:paraId="59AD34D5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тағам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,</w:t>
      </w:r>
    </w:p>
    <w:p w14:paraId="64D0AA44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тоңазытқыш-технологиялық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жабдықтардың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ақаусыздығымен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,</w:t>
      </w:r>
    </w:p>
    <w:p w14:paraId="3420D935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2.4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азық-түлік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тағамдарды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шарттарын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.</w:t>
      </w:r>
    </w:p>
    <w:p w14:paraId="6B398C4F" w14:textId="77777777" w:rsidR="00673B81" w:rsidRPr="009433AF" w:rsidRDefault="00673B81" w:rsidP="00673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3. Комиссия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ресімделіп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кеңесінде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қаралып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, "№5 ЖББМ"КММ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сайтына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орналастырылсын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.</w:t>
      </w:r>
    </w:p>
    <w:p w14:paraId="19C8AC89" w14:textId="77777777" w:rsidR="00673B81" w:rsidRPr="009433AF" w:rsidRDefault="00673B81" w:rsidP="00673B8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AF">
        <w:rPr>
          <w:rFonts w:ascii="Times New Roman" w:hAnsi="Times New Roman" w:cs="Times New Roman"/>
          <w:sz w:val="28"/>
          <w:szCs w:val="28"/>
        </w:rPr>
        <w:t xml:space="preserve">4. Осы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бақылау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Хаймхожаға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Скворцоваға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Pr="009433AF">
        <w:rPr>
          <w:rFonts w:ascii="Times New Roman" w:hAnsi="Times New Roman" w:cs="Times New Roman"/>
          <w:sz w:val="28"/>
          <w:szCs w:val="28"/>
        </w:rPr>
        <w:t>.</w:t>
      </w:r>
    </w:p>
    <w:p w14:paraId="428FC4BC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7B2648" w14:textId="77777777" w:rsidR="00673B81" w:rsidRPr="009433AF" w:rsidRDefault="00673B81" w:rsidP="00673B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864A9" w14:textId="77777777" w:rsidR="00673B81" w:rsidRDefault="00673B81" w:rsidP="00673B8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3AF">
        <w:rPr>
          <w:rFonts w:ascii="Times New Roman" w:hAnsi="Times New Roman" w:cs="Times New Roman"/>
          <w:b/>
          <w:bCs/>
          <w:sz w:val="28"/>
          <w:szCs w:val="28"/>
        </w:rPr>
        <w:t xml:space="preserve">Директоры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943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3AF">
        <w:rPr>
          <w:rFonts w:ascii="Times New Roman" w:hAnsi="Times New Roman" w:cs="Times New Roman"/>
          <w:b/>
          <w:bCs/>
          <w:sz w:val="28"/>
          <w:szCs w:val="28"/>
        </w:rPr>
        <w:t>Тұраров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А.Т.</w:t>
      </w:r>
    </w:p>
    <w:p w14:paraId="2525C360" w14:textId="77777777" w:rsidR="006276EC" w:rsidRDefault="006276EC"/>
    <w:sectPr w:rsidR="006276EC" w:rsidSect="00673B8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7"/>
    <w:rsid w:val="006276EC"/>
    <w:rsid w:val="00673B81"/>
    <w:rsid w:val="00C4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E98E5-6611-45EE-8159-C6701ED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8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2</cp:revision>
  <dcterms:created xsi:type="dcterms:W3CDTF">2022-01-11T04:36:00Z</dcterms:created>
  <dcterms:modified xsi:type="dcterms:W3CDTF">2022-01-11T04:36:00Z</dcterms:modified>
</cp:coreProperties>
</file>