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D0" w:rsidRPr="00394DD0" w:rsidRDefault="00394DD0" w:rsidP="00394DD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SWOT-АНАЛИЗ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учебно-воспитательного процесса за 2022-2023 учебный год в КГУ </w:t>
      </w:r>
      <w:r>
        <w:rPr>
          <w:rFonts w:ascii="Times New Roman" w:hAnsi="Times New Roman" w:cs="Times New Roman"/>
          <w:sz w:val="28"/>
          <w:szCs w:val="28"/>
          <w:lang w:eastAsia="ru-RU"/>
        </w:rPr>
        <w:t>«ОШ (РУ) им.Ы. Алтынсарина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Нура,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Нуринского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94DD0" w:rsidRPr="00394DD0" w:rsidRDefault="00394DD0" w:rsidP="00394D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864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7"/>
        <w:gridCol w:w="2642"/>
        <w:gridCol w:w="2715"/>
        <w:gridCol w:w="2680"/>
      </w:tblGrid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Угрозы (риски и ограничения)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Созданы условия для выполнения образовательных стандартов начального общего, основного общего, среднего общего образования</w:t>
            </w:r>
            <w:proofErr w:type="gram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A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A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сего 33 </w:t>
            </w:r>
            <w:proofErr w:type="spellStart"/>
            <w:r w:rsidR="005A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класс-комплекта</w:t>
            </w:r>
            <w:proofErr w:type="spellEnd"/>
            <w:r w:rsidR="005A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proofErr w:type="spellStart"/>
            <w:r w:rsidR="005A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предшкольных</w:t>
            </w:r>
            <w:proofErr w:type="spellEnd"/>
            <w:r w:rsidR="005A0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класса), обучение на казахском, русском языках. Двухсменное обучение.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Насыщенность уро</w:t>
            </w:r>
            <w:r w:rsidR="003D1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чной и внеурочной деятельности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может вызывать усталость у учащихся;</w:t>
            </w:r>
          </w:p>
          <w:p w:rsidR="00394DD0" w:rsidRPr="00394DD0" w:rsidRDefault="003D103E" w:rsidP="003D103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Слабая 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со стороны родителей.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Наличие перегруженности, нехватка кабинетов не позволяют  достаточно полно организовать учебно-воспитательный процесс во внеурочное время.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03E" w:rsidRDefault="003D103E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общешкольных мероприятиях;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социальных партнеров к решению вопросов развития школы;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неподготовленность некоторых учащихся воспринимать обновленное содержание образования, отсутствуют или недостаточно сформированы компетенции для их освоения у некоторых учащихся;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Консервативный подход некоторых педагогов по отношению к изменению системы обучения;</w:t>
            </w:r>
          </w:p>
        </w:tc>
      </w:tr>
      <w:tr w:rsidR="005A01BF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BF" w:rsidRDefault="005A01BF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– 507. Качество знаний за учебный год составило  - 48,4%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0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классы – 63,8; среднее звено – 40,7%, старшее звено – 38,1%). </w:t>
            </w:r>
          </w:p>
          <w:p w:rsidR="00873BD7" w:rsidRDefault="00873BD7" w:rsidP="00873B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ООП – 14учеников, из них обучались на дому – 4 учащихся (1, 5, 6, 9 классы).</w:t>
            </w:r>
          </w:p>
          <w:p w:rsidR="005A01BF" w:rsidRDefault="005A01BF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2154" w:rsidRDefault="00852154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выпускников 11 класс</w:t>
            </w:r>
            <w:r w:rsidR="007F0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38, из них 4 – обладатели  знака «Алтын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белгі», 2-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Үзді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аттестат». </w:t>
            </w:r>
          </w:p>
          <w:p w:rsidR="00BE49EE" w:rsidRPr="00852154" w:rsidRDefault="00BE49EE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Поступили на гранты  в ВУЗы -19 учеников, 4 - в колледж. После 9 класса:11 учеников поступили на гранты.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BF" w:rsidRPr="00852154" w:rsidRDefault="005A01BF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Наблюдается низкое качество знаний в </w:t>
            </w:r>
            <w:r w:rsidR="00852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«А», «</w:t>
            </w:r>
            <w:r w:rsidR="008521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Ә» классе – 30% и 35%; 9 </w:t>
            </w:r>
            <w:r w:rsidR="00852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21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Ә» -18,1, 9 «Б» - 23%, 10 </w:t>
            </w:r>
            <w:r w:rsidR="00852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21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Ә» - 20 %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BF" w:rsidRDefault="005A01BF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дополнительных</w:t>
            </w:r>
            <w:r w:rsidR="00852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занятий, эффективная работа со </w:t>
            </w:r>
            <w:proofErr w:type="gramStart"/>
            <w:r w:rsidR="00852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="00852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восполнению пробелов в знаниях; </w:t>
            </w:r>
          </w:p>
          <w:p w:rsidR="00852154" w:rsidRDefault="00852154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учащихся в научно-практическую деятельность;</w:t>
            </w:r>
          </w:p>
          <w:p w:rsidR="00852154" w:rsidRDefault="00852154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Полезная занятость учащихся во внеурочное время.</w:t>
            </w:r>
          </w:p>
          <w:p w:rsidR="00852154" w:rsidRDefault="00852154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1BF" w:rsidRPr="00394DD0" w:rsidRDefault="00852154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Низкое качество знаний, снижен</w:t>
            </w:r>
            <w:r w:rsidR="007F0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ая мотивация  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D103E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укомплектована кадрами;</w:t>
            </w:r>
            <w:r w:rsidR="007F0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педагог-исследователь – 14, педагог-эксперт – 9, педагог-модератор – 8, высшая категория – 6, первая категория – 2, </w:t>
            </w:r>
            <w:r w:rsidR="00BE4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– 4, без категории – 28. П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едагогический коллектив пополняется молодыми специалистами</w:t>
            </w:r>
            <w:r w:rsidR="00BE4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было принято 7 молодых специалистов. Организовано наставничество (3уч.) 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возглавляют методические объединения</w:t>
            </w:r>
            <w:r w:rsidR="00E67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(всего в школе 11 МО)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регулярно участвуют в </w:t>
            </w:r>
            <w:r w:rsidR="003D1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районных, областных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конкурсах, занимают призовые места</w:t>
            </w:r>
            <w:r w:rsidR="007C1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конкурсе «Учитель года» принимал участие учитель информатики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состав регулярно посещает курсы повышения квалификации</w:t>
            </w:r>
            <w:r w:rsidR="00BE4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(перспективный план повышения квалификации на учебный год)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0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принимают участие в семинарах, </w:t>
            </w:r>
            <w:proofErr w:type="spellStart"/>
            <w:r w:rsidR="00A0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воркшопах</w:t>
            </w:r>
            <w:proofErr w:type="spellEnd"/>
            <w:r w:rsidR="00A0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делятся опытом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 оперативный  анализ результатов пробных тестирований, оперативная коррекция неусвоенных   вопросов  и тем.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некоторых классных руководителей ос</w:t>
            </w:r>
            <w:r w:rsidR="00A0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уществляется не должным образом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4DD0" w:rsidRPr="00394DD0" w:rsidRDefault="00394DD0" w:rsidP="00443A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Некоторые </w:t>
            </w:r>
            <w:r w:rsidR="00A03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443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дагоги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443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хотят принимать участие в семинарах, участвовать в конкурсах.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3A7E" w:rsidRPr="00394DD0" w:rsidRDefault="00443A7E" w:rsidP="00443A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педагогов школы для участия в развитии и совершенствовании знаний и талантов учащихся;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работы с одаренными и талантливыми детьми;</w:t>
            </w:r>
          </w:p>
          <w:p w:rsid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урочной и внеурочной деятельности учащихся;</w:t>
            </w:r>
          </w:p>
          <w:p w:rsidR="007C1627" w:rsidRPr="00394DD0" w:rsidRDefault="007C1627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численности учащихся, изменение уровня подготовки детей</w:t>
            </w:r>
          </w:p>
          <w:p w:rsidR="00394DD0" w:rsidRPr="00394DD0" w:rsidRDefault="007D75FF" w:rsidP="005A1C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Неэффективная работа</w:t>
            </w:r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учащимися</w:t>
            </w:r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школьного сайта</w:t>
            </w:r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социальных страничек в </w:t>
            </w:r>
            <w:proofErr w:type="spellStart"/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фейсбуке</w:t>
            </w:r>
            <w:proofErr w:type="spellEnd"/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инстаграмме</w:t>
            </w:r>
            <w:proofErr w:type="spellEnd"/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5A1C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Необходимост</w:t>
            </w:r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 модернизации школьного сайта и социальных страничек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спрос потенциальных и реальных потребителей образовательных услуг на повышение компьютерной грамотности учащихся.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F92F5B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родительского контроля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интернет-безопасности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социальных сетях детей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5A1C8B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Проводится работа 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одаренными и талантливыми детьми</w:t>
            </w:r>
            <w:proofErr w:type="gramStart"/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67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92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районный уровень  23</w:t>
            </w:r>
            <w:r w:rsidR="00E67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ученических проект</w:t>
            </w:r>
            <w:r w:rsidR="00927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17 из них прошли на областной уровень)</w:t>
            </w:r>
          </w:p>
          <w:p w:rsidR="00394DD0" w:rsidRPr="00394DD0" w:rsidRDefault="00394DD0" w:rsidP="005A1C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Проводятся, индивидуальные консультации, ш</w:t>
            </w:r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кольные олимпиады, конференции.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олимпиадах и конференциях на </w:t>
            </w:r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районном, областном </w:t>
            </w:r>
            <w:r w:rsidR="005A1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уровнях;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Дефицит временных ресурсов, как у учителя, так и у ученика;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Выявлением и поддержанием талантливых детей занимаются не все педагоги, существуют учителя, не преследующие данной цели в процессе обучения;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5A1C8B" w:rsidP="005A1C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Возможность участия на 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областных 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конференций различной направленности для всех категорий учащихся.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927BE9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олимпиадах, проектах, не входящих в перечень приказа № 514.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5A1C8B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Соответствуют санитарным требованиям</w:t>
            </w:r>
            <w:r w:rsidR="007F0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асписание</w:t>
            </w:r>
            <w:r w:rsidR="00F65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5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кабинеты, оборудование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4DD0" w:rsidRPr="00394DD0" w:rsidRDefault="00F65054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Проводится 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 по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394DD0"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Спортивная работа (спортивные мероприятия, эстафеты, проведение дней здоровья, спартакиад);</w:t>
            </w:r>
          </w:p>
          <w:p w:rsidR="002E4103" w:rsidRDefault="00F65054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Ведется совместная работа с ДЮСШ.</w:t>
            </w:r>
            <w:r w:rsidR="00D11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(38% учащихся посещают кружки)</w:t>
            </w:r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медицинских осмотров для </w:t>
            </w:r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 и учителей школы (охвачено 502 ученика, состоят на «Д» учете 42 ученика, выявлено заболеваний у 60 учеников)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F650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Недостаточное использование </w:t>
            </w:r>
            <w:proofErr w:type="spell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технологий на уроках, 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Ограниченная возможность для привлечения социальных партнеров для занятий в бассейне, на катке, лыжах и других видов спортивной деятельности;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627" w:rsidRPr="00394DD0" w:rsidRDefault="00ED7627" w:rsidP="00ED7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потенциальных и реальных потребителей образовательных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сохранении и ук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реплении здоровья учащихся.</w:t>
            </w:r>
          </w:p>
          <w:p w:rsidR="00394DD0" w:rsidRDefault="00ED7627" w:rsidP="00ED7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2E4103" w:rsidRPr="00394DD0" w:rsidRDefault="002E4103" w:rsidP="00ED7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физминуток</w:t>
            </w:r>
            <w:proofErr w:type="spellEnd"/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Перегрузка учащихся урочной и внеурочной деятельностью;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возможности расширения площади (помещений), пригодных для здоровья сбережения;</w:t>
            </w:r>
          </w:p>
          <w:p w:rsidR="00394DD0" w:rsidRPr="00394DD0" w:rsidRDefault="00ED7627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Неблагополучная ситуация в социуме относительно вредных привычек. Нездоровый образ жизни семей.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библиотеки </w:t>
            </w:r>
            <w:r w:rsidR="00005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научно-педагогическими изданиями – 109 (из них 22 </w:t>
            </w:r>
            <w:proofErr w:type="gramStart"/>
            <w:r w:rsidR="00005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005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</w:t>
            </w:r>
            <w:proofErr w:type="gramEnd"/>
            <w:r w:rsidR="00005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.яз</w:t>
            </w:r>
            <w:proofErr w:type="spellEnd"/>
            <w:r w:rsidR="00005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r w:rsidR="00C1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периодическими изданиями</w:t>
            </w:r>
            <w:r w:rsidR="00005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3наименования, методических и дидактических изданий – 503 (из них в электронном виде – 154 экземпляра.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пользуются предметными сайтами, Интернет-ресурсами для обогащения опыта, с помощью </w:t>
            </w:r>
            <w:proofErr w:type="spellStart"/>
            <w:proofErr w:type="gram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Интернет-порталов</w:t>
            </w:r>
            <w:proofErr w:type="spellEnd"/>
            <w:proofErr w:type="gramEnd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общаются с педагогами </w:t>
            </w:r>
            <w:r w:rsidR="00ED7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 области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происходит обмен опытом;</w:t>
            </w:r>
          </w:p>
          <w:p w:rsidR="00394DD0" w:rsidRPr="00C17CE5" w:rsidRDefault="00ED7627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проекте «</w:t>
            </w:r>
            <w:proofErr w:type="gramStart"/>
            <w:r w:rsidR="00C17C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gramEnd"/>
            <w:r w:rsidR="00C17C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құға құштар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медиа-центра</w:t>
            </w:r>
            <w:proofErr w:type="spellEnd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4DD0" w:rsidRPr="00394DD0" w:rsidRDefault="00C17CE5" w:rsidP="00C17C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Меньшая активность среди учащихся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проекте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құға құштар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D11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</w:t>
            </w:r>
            <w:r w:rsidR="00D110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чие кабинета информатики, выхода в интернет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персонала, владеющего ИКТ, позволяет активно практиковать сетевое взаимодействие педагогов и учащихся в рамках различных образовательных </w:t>
            </w:r>
            <w:proofErr w:type="spellStart"/>
            <w:proofErr w:type="gram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Интернет-сообществ</w:t>
            </w:r>
            <w:proofErr w:type="spellEnd"/>
            <w:proofErr w:type="gramEnd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Организация дистанционного обучения учащихся.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спонсорской помощи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103" w:rsidRDefault="00394DD0" w:rsidP="00C17C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школе действуют органы самоуправления </w:t>
            </w:r>
            <w:r w:rsidR="00C1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(Президент школы, по 8 направлениям.</w:t>
            </w:r>
            <w:proofErr w:type="gramEnd"/>
            <w:r w:rsidR="00C1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Детское представительство по </w:t>
            </w:r>
            <w:r w:rsidR="00C1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школе, району, области)</w:t>
            </w:r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E4103" w:rsidRDefault="002E4103" w:rsidP="00C17C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Организовано волонтерское движение,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движение.</w:t>
            </w:r>
          </w:p>
          <w:p w:rsidR="005E4753" w:rsidRDefault="005E4753" w:rsidP="002E41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февраля 2023 </w:t>
            </w:r>
            <w:proofErr w:type="gramStart"/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областной </w:t>
            </w:r>
            <w:proofErr w:type="spellStart"/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школ области Членом детского представительства по профилактике </w:t>
            </w:r>
            <w:proofErr w:type="spellStart"/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табакокоурения</w:t>
            </w:r>
            <w:proofErr w:type="spellEnd"/>
            <w:r w:rsidR="002E41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курительных смесей.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ряды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- 225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лан» - 138 учеников. Активисты принимали участие в республиканских, областных акциях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ейірімділік мекені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«Қоғамға қызмет 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4DD0" w:rsidRPr="005E4753" w:rsidRDefault="005E4753" w:rsidP="002E410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театральных постановках (5 школьных, 1-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Недостаточно высокая инициативность, самостоятельность и активность деятельности органов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управления.</w:t>
            </w:r>
          </w:p>
          <w:p w:rsidR="005E4753" w:rsidRDefault="005E4753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Снижена мотивация </w:t>
            </w:r>
          </w:p>
          <w:p w:rsidR="005E4753" w:rsidRPr="00394DD0" w:rsidRDefault="005E4753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Слабое участие в КВН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реализация программы эффективного взаимодействия школы с органами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управления.</w:t>
            </w:r>
          </w:p>
          <w:p w:rsidR="005E4753" w:rsidRDefault="005E4753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спонсоров для поощрения активных членов самоуправления.</w:t>
            </w:r>
          </w:p>
          <w:p w:rsidR="005E4753" w:rsidRPr="00394DD0" w:rsidRDefault="005E4753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законодательной ответственности органов общественного управления школы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опыт вовлечения родителей в воспитательно-образовательный процесс</w:t>
            </w:r>
            <w:proofErr w:type="gram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C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002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Функционирует Попечительский совет, общешкольный родительский комитет)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ED7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Активными участниками УВП являются родители </w:t>
            </w:r>
            <w:r w:rsidR="00ED7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начальной школы;</w:t>
            </w:r>
            <w:r w:rsidR="007F0B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малоэффективные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ED7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 родителями учащихся подросткового и юношеского возрастов.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Возможность участия родителей в </w:t>
            </w:r>
            <w:proofErr w:type="spellStart"/>
            <w:proofErr w:type="gramStart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интернет-собраниях</w:t>
            </w:r>
            <w:proofErr w:type="spellEnd"/>
            <w:proofErr w:type="gramEnd"/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родительских конференциях разного уровня.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A63" w:rsidRPr="00394DD0" w:rsidTr="00394DD0"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определенная система воспитательной работы.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Положительная динамика уровня воспитанности детей.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социальная активность детей.</w:t>
            </w:r>
          </w:p>
        </w:tc>
        <w:tc>
          <w:tcPr>
            <w:tcW w:w="2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детей «группы риска», состоящих на учете совета профилактики школы.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ED762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в систему воспитательной работы школы </w:t>
            </w:r>
            <w:r w:rsidR="00ED7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эффективных 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ED76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по воспитательной деятельности</w:t>
            </w: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Недостаток семейного воспитания.</w:t>
            </w:r>
          </w:p>
          <w:p w:rsidR="00394DD0" w:rsidRPr="00394DD0" w:rsidRDefault="00394DD0" w:rsidP="00394D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DD0" w:rsidRPr="00394DD0" w:rsidRDefault="00394DD0" w:rsidP="00394D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DD0" w:rsidRPr="00394DD0" w:rsidRDefault="00394DD0" w:rsidP="00394DD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DD0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Итоги SWOT-анализа работы школы</w:t>
      </w:r>
    </w:p>
    <w:p w:rsidR="00394DD0" w:rsidRPr="007D0A66" w:rsidRDefault="00ED7627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4E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94DD0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созданы условия для выполнения </w:t>
      </w:r>
      <w:r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394DD0" w:rsidRPr="007D0A66">
        <w:rPr>
          <w:rFonts w:ascii="Times New Roman" w:hAnsi="Times New Roman" w:cs="Times New Roman"/>
          <w:sz w:val="24"/>
          <w:szCs w:val="24"/>
          <w:lang w:eastAsia="ru-RU"/>
        </w:rPr>
        <w:t>осударственных образовательных стандартов.</w:t>
      </w:r>
      <w:r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 Педаг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огический состав укомплектован. Всего 33 </w:t>
      </w:r>
      <w:proofErr w:type="spellStart"/>
      <w:proofErr w:type="gramStart"/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класс-комплекта</w:t>
      </w:r>
      <w:proofErr w:type="spellEnd"/>
      <w:proofErr w:type="gramEnd"/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11 класс</w:t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. Обучение ведется на казахском и русском языках.  Учебно-воспитательный процесс осуществляется на основании нормативно-правовых документов</w:t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, типовых, рабочих  учебных планов и программ, регламентирующих учебно-воспитательную деятельность. Содержание рабочих планов и программ, методическое обеспечение учебно-воспитательного процесса, максимальный объем учебной нагрузки учащихся  соответствует требованиям государственного общеобязательного стандарта образования. </w:t>
      </w:r>
      <w:r w:rsidR="0055639A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Расписание, урочная и внеурочная деятельность, кабинеты, оборудование соответствуют Санитарным требованиям. </w:t>
      </w:r>
    </w:p>
    <w:p w:rsidR="00F92F5B" w:rsidRPr="007D0A66" w:rsidRDefault="009E1A47" w:rsidP="00094EE3">
      <w:pPr>
        <w:pStyle w:val="a3"/>
        <w:spacing w:before="0" w:beforeAutospacing="0" w:after="0" w:afterAutospacing="0"/>
        <w:ind w:left="-851" w:firstLine="851"/>
        <w:jc w:val="both"/>
      </w:pPr>
      <w:r w:rsidRPr="007D0A66">
        <w:rPr>
          <w:bdr w:val="none" w:sz="0" w:space="0" w:color="auto" w:frame="1"/>
        </w:rPr>
        <w:t xml:space="preserve">Школа работала в режиме пятидневной рабочей недели в две смены. </w:t>
      </w:r>
    </w:p>
    <w:p w:rsidR="00F92F5B" w:rsidRPr="007D0A66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Материально-техническая база школ</w:t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соответствует дейст</w:t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>вующим санитарным, строительным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F0B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противопожарным нормам и правилам. Государственными органами надзора при п</w:t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>лановых и внеплановых проверках</w:t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, не зафиксировано грубых нарушений, созданы необходимые условия для бесперебойного, стабильного функционирования школы.</w:t>
      </w:r>
    </w:p>
    <w:p w:rsidR="00F92F5B" w:rsidRPr="007D0A66" w:rsidRDefault="009E1A47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A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4E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Прохождение курсовой подготовки учителей школы проходит согласно перспективному плану повышения квалификации. Учителя школы направляются на курсы повышения квалификации сог</w:t>
      </w:r>
      <w:r w:rsidRPr="007D0A66">
        <w:rPr>
          <w:rFonts w:ascii="Times New Roman" w:hAnsi="Times New Roman" w:cs="Times New Roman"/>
          <w:sz w:val="24"/>
          <w:szCs w:val="24"/>
          <w:lang w:eastAsia="ru-RU"/>
        </w:rPr>
        <w:t>ласно плану курсовой подготовки.</w:t>
      </w:r>
      <w:r w:rsidR="007F0B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60C7" w:rsidRPr="007D0A66">
        <w:rPr>
          <w:rFonts w:ascii="Times New Roman" w:hAnsi="Times New Roman" w:cs="Times New Roman"/>
          <w:sz w:val="24"/>
          <w:szCs w:val="24"/>
          <w:lang w:eastAsia="ru-RU"/>
        </w:rPr>
        <w:t>Каждое методическое объединение имеет свой план работы, согласно которому строится деятельность.</w:t>
      </w:r>
    </w:p>
    <w:p w:rsidR="00F92F5B" w:rsidRPr="007D0A66" w:rsidRDefault="009E1A47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A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4E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Учебная нагрузка учителей спланирована в соответствии с их   специальностью по диплому, категории в предела</w:t>
      </w:r>
      <w:r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х часов рабочего учебного плана. Объем учебных часов по каждой дисциплине учебного плана выполнен в полном объеме. </w:t>
      </w:r>
      <w:proofErr w:type="spellStart"/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="00F92F5B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за раздел и четверть, лабораторные и практические работы проводятся в соответствии с требованиями программ по предметам.</w:t>
      </w:r>
    </w:p>
    <w:p w:rsidR="00F92F5B" w:rsidRPr="007D0A66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Сформированная система школьного самоуправления, </w:t>
      </w:r>
      <w:r w:rsidR="007360C7" w:rsidRPr="007D0A66">
        <w:rPr>
          <w:rFonts w:ascii="Times New Roman" w:hAnsi="Times New Roman" w:cs="Times New Roman"/>
          <w:sz w:val="24"/>
          <w:szCs w:val="24"/>
          <w:lang w:eastAsia="ru-RU"/>
        </w:rPr>
        <w:t>Работу школьного ученического самоуправления за истекший год можно признать удовлетворительной. Следует активизировать работу всех отделов. А классным активам кроме этого систематизировать работу, организовывать больше мероприятий по всем направлениям воспитательной работы.</w:t>
      </w:r>
    </w:p>
    <w:p w:rsidR="00094EE3" w:rsidRDefault="007360C7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A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4E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E1A47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работа </w:t>
      </w:r>
      <w:r w:rsidR="0055639A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со слабоуспевающими учащимися по восполнению пробелов в знаниях. Для одаренных  учащихся проводятся </w:t>
      </w:r>
      <w:r w:rsidR="00394DD0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индивидуальные консультации, школьные олимпиады, </w:t>
      </w:r>
      <w:r w:rsidR="0055639A" w:rsidRPr="007D0A66">
        <w:rPr>
          <w:rFonts w:ascii="Times New Roman" w:hAnsi="Times New Roman" w:cs="Times New Roman"/>
          <w:sz w:val="24"/>
          <w:szCs w:val="24"/>
          <w:lang w:eastAsia="ru-RU"/>
        </w:rPr>
        <w:t>организована проектная деятельность</w:t>
      </w:r>
      <w:r w:rsidR="00394DD0" w:rsidRPr="007D0A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5639A" w:rsidRPr="007D0A66">
        <w:rPr>
          <w:rFonts w:ascii="Times New Roman" w:hAnsi="Times New Roman" w:cs="Times New Roman"/>
          <w:sz w:val="24"/>
          <w:szCs w:val="24"/>
          <w:lang w:eastAsia="ru-RU"/>
        </w:rPr>
        <w:t>Имеются достижения учащихся на районном, областном,</w:t>
      </w:r>
      <w:r w:rsidR="007C1627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республиканском уровнях. </w:t>
      </w:r>
    </w:p>
    <w:p w:rsidR="00094EE3" w:rsidRDefault="007C1627" w:rsidP="00094EE3">
      <w:pPr>
        <w:pStyle w:val="a4"/>
        <w:ind w:left="-851" w:firstLine="851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2023-2024 учебном году необходимо уделить большое внимание успеваемости учащихся, а именно:  в  9 «А», «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Ә» классе – 30% и 35%; 10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Ә» -18,1, 10«Б» - 23%, 11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Ә» - 20 %.  </w:t>
      </w:r>
      <w:r w:rsidR="00094EE3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Проводить эффективную работу по адаптации учащихся 1 и  5 классов.  </w:t>
      </w:r>
    </w:p>
    <w:p w:rsidR="00094EE3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7C1627">
        <w:rPr>
          <w:rFonts w:ascii="Times New Roman" w:hAnsi="Times New Roman" w:cs="Times New Roman"/>
          <w:sz w:val="24"/>
          <w:szCs w:val="24"/>
          <w:lang w:val="kk-KZ" w:eastAsia="ru-RU"/>
        </w:rPr>
        <w:t>На особый контроль взаять преподавание предметов  и успеваемости учащихся в 9 и 11 классах, по подготовке к сдаче госу</w:t>
      </w:r>
      <w:r w:rsidR="00670CC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дарственных итоговых экзаменов и ЕНТ.  </w:t>
      </w:r>
    </w:p>
    <w:p w:rsidR="00094EE3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670CC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Необходимо пересмотреть работу по вовлечению учащихся в научно-практическую деятельность, увеличить до 42,5%участия в предметных олимпиадах, конкурсах, соревнованиях по всем направлениям.  </w:t>
      </w:r>
    </w:p>
    <w:p w:rsidR="00094EE3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670CC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Увеличить активность учащихся </w:t>
      </w:r>
      <w:r w:rsidR="00670CC9">
        <w:rPr>
          <w:rFonts w:ascii="Times New Roman" w:hAnsi="Times New Roman" w:cs="Times New Roman"/>
          <w:sz w:val="24"/>
          <w:szCs w:val="24"/>
          <w:lang w:eastAsia="ru-RU"/>
        </w:rPr>
        <w:t>в проекте «</w:t>
      </w:r>
      <w:r w:rsidR="00670CC9">
        <w:rPr>
          <w:rFonts w:ascii="Times New Roman" w:hAnsi="Times New Roman" w:cs="Times New Roman"/>
          <w:sz w:val="24"/>
          <w:szCs w:val="24"/>
          <w:lang w:val="kk-KZ" w:eastAsia="ru-RU"/>
        </w:rPr>
        <w:t>Оқұға құштар мектеп</w:t>
      </w:r>
      <w:r w:rsidR="00670CC9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094EE3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70CC9">
        <w:rPr>
          <w:rFonts w:ascii="Times New Roman" w:hAnsi="Times New Roman" w:cs="Times New Roman"/>
          <w:sz w:val="24"/>
          <w:szCs w:val="24"/>
          <w:lang w:eastAsia="ru-RU"/>
        </w:rPr>
        <w:t>Осуществлять воспита</w:t>
      </w:r>
      <w:r w:rsidR="007F0BAA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670CC9">
        <w:rPr>
          <w:rFonts w:ascii="Times New Roman" w:hAnsi="Times New Roman" w:cs="Times New Roman"/>
          <w:sz w:val="24"/>
          <w:szCs w:val="24"/>
          <w:lang w:eastAsia="ru-RU"/>
        </w:rPr>
        <w:t>льную деятельность в школе по 3 ценностям. Внимание уделить работе школьного самоуправления, во</w:t>
      </w:r>
      <w:r w:rsidR="007F0BA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70CC9">
        <w:rPr>
          <w:rFonts w:ascii="Times New Roman" w:hAnsi="Times New Roman" w:cs="Times New Roman"/>
          <w:sz w:val="24"/>
          <w:szCs w:val="24"/>
          <w:lang w:eastAsia="ru-RU"/>
        </w:rPr>
        <w:t>лекать родителей среднего и старшего звена в жизнь школы, проектов «Школа отцов», «Школа матерей».</w:t>
      </w:r>
    </w:p>
    <w:p w:rsidR="00094EE3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12A42">
        <w:rPr>
          <w:rFonts w:ascii="Times New Roman" w:hAnsi="Times New Roman" w:cs="Times New Roman"/>
          <w:sz w:val="24"/>
          <w:szCs w:val="24"/>
          <w:lang w:eastAsia="ru-RU"/>
        </w:rPr>
        <w:t>Оказывать методическую поддержку молодым специалистам, продолжить работу в школе  по исследованию урока, провести семинар по обмену опытом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94EE3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течение года п</w:t>
      </w:r>
      <w:r w:rsidR="00012A42">
        <w:rPr>
          <w:rFonts w:ascii="Times New Roman" w:hAnsi="Times New Roman" w:cs="Times New Roman"/>
          <w:sz w:val="24"/>
          <w:szCs w:val="24"/>
          <w:lang w:eastAsia="ru-RU"/>
        </w:rPr>
        <w:t>ринимать участие в республиканских, областных, районных проектах.</w:t>
      </w:r>
    </w:p>
    <w:p w:rsidR="00394DD0" w:rsidRPr="007D0A66" w:rsidRDefault="00094EE3" w:rsidP="00094EE3">
      <w:pPr>
        <w:pStyle w:val="a4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Составить план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 с учетом вышеуказанных сильных и слабых сторо</w:t>
      </w:r>
      <w:r w:rsidRPr="00094EE3">
        <w:rPr>
          <w:rFonts w:ascii="Times New Roman" w:hAnsi="Times New Roman" w:cs="Times New Roman"/>
          <w:sz w:val="24"/>
          <w:szCs w:val="24"/>
          <w:lang w:eastAsia="ru-RU"/>
        </w:rPr>
        <w:t>н SWOT-анализа.</w:t>
      </w:r>
    </w:p>
    <w:p w:rsidR="007360C7" w:rsidRPr="007D0A66" w:rsidRDefault="0055639A" w:rsidP="007360C7">
      <w:pPr>
        <w:pStyle w:val="a4"/>
        <w:jc w:val="both"/>
        <w:rPr>
          <w:rFonts w:ascii="Arial" w:hAnsi="Arial" w:cs="Arial"/>
          <w:color w:val="5C5C5C"/>
          <w:sz w:val="24"/>
          <w:szCs w:val="24"/>
        </w:rPr>
      </w:pPr>
      <w:r w:rsidRPr="007D0A6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95914" w:rsidRPr="007D0A66" w:rsidRDefault="00B95914" w:rsidP="00394DD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95914" w:rsidRPr="007D0A66" w:rsidSect="00394D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75C"/>
    <w:multiLevelType w:val="multilevel"/>
    <w:tmpl w:val="E456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94492"/>
    <w:multiLevelType w:val="multilevel"/>
    <w:tmpl w:val="9BB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4200F"/>
    <w:multiLevelType w:val="multilevel"/>
    <w:tmpl w:val="100A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22FC"/>
    <w:multiLevelType w:val="multilevel"/>
    <w:tmpl w:val="A12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31EF6"/>
    <w:multiLevelType w:val="multilevel"/>
    <w:tmpl w:val="EE9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37AA"/>
    <w:multiLevelType w:val="multilevel"/>
    <w:tmpl w:val="680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D1201"/>
    <w:multiLevelType w:val="multilevel"/>
    <w:tmpl w:val="B160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3159A"/>
    <w:multiLevelType w:val="multilevel"/>
    <w:tmpl w:val="F8E2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A5A40"/>
    <w:multiLevelType w:val="multilevel"/>
    <w:tmpl w:val="0362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F3312"/>
    <w:multiLevelType w:val="multilevel"/>
    <w:tmpl w:val="041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E1582B"/>
    <w:multiLevelType w:val="multilevel"/>
    <w:tmpl w:val="662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177B2"/>
    <w:multiLevelType w:val="multilevel"/>
    <w:tmpl w:val="55E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75B97"/>
    <w:multiLevelType w:val="multilevel"/>
    <w:tmpl w:val="FF6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24B15"/>
    <w:multiLevelType w:val="multilevel"/>
    <w:tmpl w:val="37C6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F5C08"/>
    <w:multiLevelType w:val="multilevel"/>
    <w:tmpl w:val="EF1E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F338E"/>
    <w:multiLevelType w:val="multilevel"/>
    <w:tmpl w:val="2CB4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A5431F"/>
    <w:multiLevelType w:val="multilevel"/>
    <w:tmpl w:val="5F0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C2D1A"/>
    <w:multiLevelType w:val="multilevel"/>
    <w:tmpl w:val="FBD0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74B68"/>
    <w:multiLevelType w:val="multilevel"/>
    <w:tmpl w:val="4F86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4697C"/>
    <w:multiLevelType w:val="multilevel"/>
    <w:tmpl w:val="1A12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A64923"/>
    <w:multiLevelType w:val="multilevel"/>
    <w:tmpl w:val="0A72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64963"/>
    <w:multiLevelType w:val="multilevel"/>
    <w:tmpl w:val="635A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92B12"/>
    <w:multiLevelType w:val="multilevel"/>
    <w:tmpl w:val="1634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26910"/>
    <w:multiLevelType w:val="multilevel"/>
    <w:tmpl w:val="9A4A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DF7D51"/>
    <w:multiLevelType w:val="multilevel"/>
    <w:tmpl w:val="A64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3C357E"/>
    <w:multiLevelType w:val="multilevel"/>
    <w:tmpl w:val="BE4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25"/>
  </w:num>
  <w:num w:numId="5">
    <w:abstractNumId w:val="17"/>
  </w:num>
  <w:num w:numId="6">
    <w:abstractNumId w:val="16"/>
  </w:num>
  <w:num w:numId="7">
    <w:abstractNumId w:val="18"/>
  </w:num>
  <w:num w:numId="8">
    <w:abstractNumId w:val="10"/>
  </w:num>
  <w:num w:numId="9">
    <w:abstractNumId w:val="2"/>
  </w:num>
  <w:num w:numId="10">
    <w:abstractNumId w:val="20"/>
  </w:num>
  <w:num w:numId="11">
    <w:abstractNumId w:val="1"/>
  </w:num>
  <w:num w:numId="12">
    <w:abstractNumId w:val="8"/>
  </w:num>
  <w:num w:numId="13">
    <w:abstractNumId w:val="13"/>
  </w:num>
  <w:num w:numId="14">
    <w:abstractNumId w:val="15"/>
  </w:num>
  <w:num w:numId="15">
    <w:abstractNumId w:val="21"/>
  </w:num>
  <w:num w:numId="16">
    <w:abstractNumId w:val="4"/>
  </w:num>
  <w:num w:numId="17">
    <w:abstractNumId w:val="19"/>
  </w:num>
  <w:num w:numId="18">
    <w:abstractNumId w:val="24"/>
  </w:num>
  <w:num w:numId="19">
    <w:abstractNumId w:val="14"/>
  </w:num>
  <w:num w:numId="20">
    <w:abstractNumId w:val="22"/>
  </w:num>
  <w:num w:numId="21">
    <w:abstractNumId w:val="11"/>
  </w:num>
  <w:num w:numId="22">
    <w:abstractNumId w:val="12"/>
  </w:num>
  <w:num w:numId="23">
    <w:abstractNumId w:val="7"/>
  </w:num>
  <w:num w:numId="24">
    <w:abstractNumId w:val="0"/>
  </w:num>
  <w:num w:numId="25">
    <w:abstractNumId w:val="9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94DD0"/>
    <w:rsid w:val="00002A8D"/>
    <w:rsid w:val="00005A63"/>
    <w:rsid w:val="00012A42"/>
    <w:rsid w:val="00094EE3"/>
    <w:rsid w:val="000C1219"/>
    <w:rsid w:val="0022723A"/>
    <w:rsid w:val="002A7489"/>
    <w:rsid w:val="002E4103"/>
    <w:rsid w:val="00394DD0"/>
    <w:rsid w:val="003D103E"/>
    <w:rsid w:val="00443A7E"/>
    <w:rsid w:val="004B326D"/>
    <w:rsid w:val="0055639A"/>
    <w:rsid w:val="005A01BF"/>
    <w:rsid w:val="005A1C8B"/>
    <w:rsid w:val="005E4753"/>
    <w:rsid w:val="00670CC9"/>
    <w:rsid w:val="006C68A9"/>
    <w:rsid w:val="007360C7"/>
    <w:rsid w:val="007C1627"/>
    <w:rsid w:val="007D0A66"/>
    <w:rsid w:val="007D75FF"/>
    <w:rsid w:val="007F0BAA"/>
    <w:rsid w:val="00852154"/>
    <w:rsid w:val="00873BD7"/>
    <w:rsid w:val="00927BE9"/>
    <w:rsid w:val="009B7ECF"/>
    <w:rsid w:val="009E1A47"/>
    <w:rsid w:val="00A032F5"/>
    <w:rsid w:val="00B95914"/>
    <w:rsid w:val="00BE49EE"/>
    <w:rsid w:val="00C17CE5"/>
    <w:rsid w:val="00D1107B"/>
    <w:rsid w:val="00D23F3D"/>
    <w:rsid w:val="00E23068"/>
    <w:rsid w:val="00E67130"/>
    <w:rsid w:val="00E873DA"/>
    <w:rsid w:val="00ED7627"/>
    <w:rsid w:val="00F65054"/>
    <w:rsid w:val="00F7543E"/>
    <w:rsid w:val="00F92F5B"/>
    <w:rsid w:val="00FF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4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2023-09-21T08:34:00Z</cp:lastPrinted>
  <dcterms:created xsi:type="dcterms:W3CDTF">2023-10-10T09:40:00Z</dcterms:created>
  <dcterms:modified xsi:type="dcterms:W3CDTF">2023-10-10T09:55:00Z</dcterms:modified>
</cp:coreProperties>
</file>