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50aa" w14:textId="c4f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настоящее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обязательной школьной форме для организаций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обязательной школьной форме для организаций среднего образования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для обеспечения обучающихся качественной школьной формой.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используется следующее основное понятие: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Требований –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советов (попечительский совет, родительский комитет, школьное самоуправление) в соблюдении светского характера обучения.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обязательной школьной форме для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Школьная форма вводится с учетом возрастных особенностей обучающихся.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Школьная форма подразделяется на повседневную, парадную и спортивную.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Школьная форма для мальчиков включает: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Школьная форма для девочек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длине закрывают щиколотки ног.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Включение элементов одежды религиозной принадлежности различных конфессий в школьную форму не допускается.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На школьной форме допускается размещение отличительных знаков (эмблема, нашивка, шеврон и другие) организаций среднего образования.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школьной форме исключают ношение одежды и аксессуаров с травмирующей фурнитурой.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внедрении школьной формы обращается внимание на состав тканей.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качестве тканей для школьной формы желательно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Родители и иные законные представители детей, члены школьного самоуправления, попечительского совета и родительского комитета участвуют в обсуждении вопросов школьной формы и вносят свои предложения в соответствии с настоящими Требованиями.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фасона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самоуправление), утверждается протоколом общешкольного родительского собрания.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Введение изменений в школьную форму принимается по согласованию с советом (попечительский совет, родительский комитет, школьное самоуправление).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Исполнение Требований к обязательной школьной форме для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организации среднего образования (далее - Руководитель) и совет (попечительский совет, родительский комитет, школьное самоуправление) при введении обязательной школьной формы руководствуются настоящими Требованиями.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Родители и иные законные представители детей приобретают школьную форму через действующую торговую сеть.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Органы управления образованием области, города республиканского значения, столицы, района (города областного значения) (далее – Органы управления) рекомендуют родителям приобретение школьной формы у отечественных производителей. Органам управления не допускается оказание предпочтения отдельным производителям школьной формы.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школьной формы родители самостоятельны в выборе ее производителя.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Руководитель обеспечивает утверждение школьной формы до 25 мая учебного года.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просвещения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характера, форс-мажорных обстоятельств родители обеспечивают детей удобной одеждой в деловом, классическом стиле, в которой дети могут посещать организации среднего образования до снятия ограничительных мероприятий, прекращения действия чрезвычайного положения, форс-мажорных обстоятельств.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28 в соответствии с приказом Министра образования и науки РК от 13.07.2020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